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BAF5F">
      <w:pPr>
        <w:widowControl/>
        <w:shd w:val="clear" w:color="auto" w:fill="FFFFFF"/>
        <w:jc w:val="center"/>
        <w:outlineLvl w:val="1"/>
        <w:rPr>
          <w:rFonts w:ascii="宋体" w:hAnsi="宋体" w:eastAsia="宋体" w:cs="Arial"/>
          <w:b/>
          <w:bCs/>
          <w:color w:val="666666"/>
          <w:kern w:val="0"/>
          <w:sz w:val="44"/>
          <w:szCs w:val="44"/>
        </w:rPr>
      </w:pPr>
      <w:r>
        <w:rPr>
          <w:rFonts w:hint="eastAsia" w:ascii="宋体" w:hAnsi="宋体" w:eastAsia="宋体" w:cs="Arial"/>
          <w:b/>
          <w:bCs/>
          <w:color w:val="666666"/>
          <w:kern w:val="0"/>
          <w:sz w:val="44"/>
          <w:szCs w:val="44"/>
        </w:rPr>
        <w:t>关于202</w:t>
      </w:r>
      <w:r>
        <w:rPr>
          <w:rFonts w:hint="eastAsia" w:ascii="宋体" w:hAnsi="宋体" w:eastAsia="宋体" w:cs="Arial"/>
          <w:b/>
          <w:bCs/>
          <w:color w:val="666666"/>
          <w:kern w:val="0"/>
          <w:sz w:val="44"/>
          <w:szCs w:val="44"/>
          <w:lang w:val="en-US" w:eastAsia="zh-CN"/>
        </w:rPr>
        <w:t>6</w:t>
      </w:r>
      <w:r>
        <w:rPr>
          <w:rFonts w:hint="eastAsia" w:ascii="宋体" w:hAnsi="宋体" w:eastAsia="宋体" w:cs="Arial"/>
          <w:b/>
          <w:bCs/>
          <w:color w:val="666666"/>
          <w:kern w:val="0"/>
          <w:sz w:val="44"/>
          <w:szCs w:val="44"/>
        </w:rPr>
        <w:t>年</w:t>
      </w:r>
      <w:r>
        <w:rPr>
          <w:rFonts w:hint="eastAsia" w:ascii="宋体" w:hAnsi="宋体" w:eastAsia="宋体" w:cs="Arial"/>
          <w:b/>
          <w:bCs/>
          <w:color w:val="666666"/>
          <w:kern w:val="0"/>
          <w:sz w:val="44"/>
          <w:szCs w:val="44"/>
          <w:lang w:val="en-US" w:eastAsia="zh-CN"/>
        </w:rPr>
        <w:t>5</w:t>
      </w:r>
      <w:r>
        <w:rPr>
          <w:rFonts w:hint="eastAsia" w:ascii="宋体" w:hAnsi="宋体" w:eastAsia="宋体" w:cs="Arial"/>
          <w:b/>
          <w:bCs/>
          <w:color w:val="666666"/>
          <w:kern w:val="0"/>
          <w:sz w:val="44"/>
          <w:szCs w:val="44"/>
        </w:rPr>
        <w:t>月期权合约行权日、到期日、最后交易日、</w:t>
      </w:r>
      <w:r>
        <w:rPr>
          <w:rFonts w:ascii="宋体" w:hAnsi="宋体" w:eastAsia="宋体" w:cs="Arial"/>
          <w:b/>
          <w:bCs/>
          <w:color w:val="666666"/>
          <w:kern w:val="0"/>
          <w:sz w:val="44"/>
          <w:szCs w:val="44"/>
        </w:rPr>
        <w:t>组合策略自动解除日</w:t>
      </w:r>
    </w:p>
    <w:p w14:paraId="7ECA19D5">
      <w:pPr>
        <w:widowControl/>
        <w:shd w:val="clear" w:color="auto" w:fill="FFFFFF"/>
        <w:jc w:val="center"/>
        <w:outlineLvl w:val="1"/>
        <w:rPr>
          <w:rFonts w:ascii="宋体" w:hAnsi="宋体" w:eastAsia="宋体" w:cs="Arial"/>
          <w:b/>
          <w:bCs/>
          <w:color w:val="666666"/>
          <w:kern w:val="0"/>
          <w:sz w:val="44"/>
          <w:szCs w:val="44"/>
        </w:rPr>
      </w:pPr>
      <w:r>
        <w:rPr>
          <w:rFonts w:hint="eastAsia" w:ascii="宋体" w:hAnsi="宋体" w:eastAsia="宋体" w:cs="Arial"/>
          <w:b/>
          <w:bCs/>
          <w:color w:val="666666"/>
          <w:kern w:val="0"/>
          <w:sz w:val="44"/>
          <w:szCs w:val="44"/>
        </w:rPr>
        <w:t>提醒</w:t>
      </w:r>
    </w:p>
    <w:p w14:paraId="5E0B5B37">
      <w:pPr>
        <w:widowControl/>
        <w:shd w:val="clear" w:color="auto" w:fill="FFFFFF"/>
        <w:jc w:val="both"/>
        <w:rPr>
          <w:rFonts w:ascii="微软雅黑" w:hAnsi="微软雅黑" w:eastAsia="微软雅黑" w:cs="Arial"/>
          <w:color w:val="666666"/>
          <w:kern w:val="0"/>
          <w:szCs w:val="21"/>
        </w:rPr>
      </w:pPr>
    </w:p>
    <w:p w14:paraId="4D408F33">
      <w:pPr>
        <w:widowControl/>
        <w:shd w:val="clear" w:color="auto" w:fill="FFFFFF"/>
        <w:jc w:val="both"/>
        <w:rPr>
          <w:rFonts w:ascii="仿宋_GB2312" w:hAnsi="等线" w:eastAsia="仿宋_GB2312" w:cs="Arial"/>
          <w:color w:val="666666"/>
          <w:kern w:val="0"/>
          <w:sz w:val="32"/>
          <w:szCs w:val="32"/>
        </w:rPr>
      </w:pPr>
      <w:bookmarkStart w:id="0" w:name="OLE_LINK1"/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</w:rPr>
        <w:t>尊敬的股票期权投资者：</w:t>
      </w:r>
    </w:p>
    <w:p w14:paraId="4B813898">
      <w:pPr>
        <w:widowControl/>
        <w:shd w:val="clear" w:color="auto" w:fill="FFFFFF"/>
        <w:ind w:firstLine="640" w:firstLineChars="200"/>
        <w:jc w:val="both"/>
        <w:rPr>
          <w:rFonts w:ascii="仿宋_GB2312" w:eastAsia="仿宋_GB2312" w:cs="Helvetica"/>
          <w:color w:val="333333"/>
          <w:sz w:val="32"/>
          <w:szCs w:val="32"/>
        </w:rPr>
      </w:pP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  <w:lang w:val="en-US" w:eastAsia="zh-CN"/>
        </w:rPr>
        <w:t>27</w:t>
      </w: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</w:rPr>
        <w:t>日（到期月份的第四个星期三）是202</w:t>
      </w: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</w:rPr>
        <w:t>月股票期权合约的行权日、到期日和最后交易日。垂直价差策略的自动解除日为</w:t>
      </w: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</w:rPr>
        <w:t>日，跨式空头策略、宽跨式空头策略的自动解除日为</w:t>
      </w: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  <w:lang w:val="en-US" w:eastAsia="zh-CN"/>
        </w:rPr>
        <w:t>27</w:t>
      </w: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</w:rPr>
        <w:t>日。</w:t>
      </w:r>
    </w:p>
    <w:p w14:paraId="4AA7441D">
      <w:pPr>
        <w:widowControl/>
        <w:shd w:val="clear" w:color="auto" w:fill="FFFFFF"/>
        <w:ind w:firstLine="640" w:firstLineChars="200"/>
        <w:jc w:val="both"/>
        <w:rPr>
          <w:rFonts w:ascii="仿宋_GB2312" w:hAnsi="等线" w:eastAsia="仿宋_GB2312" w:cs="Arial"/>
          <w:color w:val="666666"/>
          <w:kern w:val="0"/>
          <w:sz w:val="32"/>
          <w:szCs w:val="32"/>
        </w:rPr>
      </w:pP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</w:rPr>
        <w:t>请持有202</w:t>
      </w: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</w:rPr>
        <w:t>月到期股票期权合约的投资者注意风险：</w:t>
      </w:r>
    </w:p>
    <w:p w14:paraId="6D488298">
      <w:pPr>
        <w:widowControl/>
        <w:shd w:val="clear" w:color="auto" w:fill="FFFFFF"/>
        <w:ind w:firstLine="640" w:firstLineChars="200"/>
        <w:jc w:val="both"/>
        <w:rPr>
          <w:rFonts w:ascii="仿宋_GB2312" w:hAnsi="宋体" w:eastAsia="仿宋_GB2312" w:cs="Arial"/>
          <w:color w:val="666666"/>
          <w:kern w:val="0"/>
          <w:sz w:val="32"/>
          <w:szCs w:val="32"/>
        </w:rPr>
      </w:pP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</w:rPr>
        <w:t>1、</w:t>
      </w: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  <w:lang w:val="en-US" w:eastAsia="zh-CN"/>
        </w:rPr>
        <w:t>27</w:t>
      </w: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</w:rPr>
        <w:t>日收市后仍未平仓或行权的权利仓，将被自动摘牌。提出行权的认购期权权利方需准备足额的资金，提出行权的认沽期权权利方需准备足额的合约标的，满足条件的可进行行权指令合并申报。行权申报时间比交易时间延长30分钟，即增加15:00-15:30时间段。</w:t>
      </w:r>
    </w:p>
    <w:p w14:paraId="17137BDF">
      <w:pPr>
        <w:widowControl/>
        <w:shd w:val="clear" w:color="auto" w:fill="FFFFFF"/>
        <w:ind w:firstLine="640" w:firstLineChars="200"/>
        <w:jc w:val="both"/>
        <w:rPr>
          <w:rFonts w:ascii="仿宋_GB2312" w:hAnsi="等线" w:eastAsia="仿宋_GB2312" w:cs="Arial"/>
          <w:color w:val="666666"/>
          <w:kern w:val="0"/>
          <w:sz w:val="32"/>
          <w:szCs w:val="32"/>
        </w:rPr>
      </w:pP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</w:rPr>
        <w:t>2、</w:t>
      </w: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  <w:lang w:val="en-US" w:eastAsia="zh-CN"/>
        </w:rPr>
        <w:t>27</w:t>
      </w: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</w:rPr>
        <w:t>日收市后仍未平仓的义务仓，将被自动摘牌，还或将负有股票期权合约被行权的交割义务。即交易所日终完成行权指派后，被指派行权的投资者务必在</w:t>
      </w: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</w:rPr>
        <w:t>月2</w:t>
      </w: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</w:rPr>
        <w:t>日收市前准备好足额标的证券或资金，避免出现交割违约。</w:t>
      </w:r>
    </w:p>
    <w:p w14:paraId="6742DAC2">
      <w:pPr>
        <w:widowControl/>
        <w:shd w:val="clear" w:color="auto" w:fill="FFFFFF"/>
        <w:ind w:firstLine="640" w:firstLineChars="200"/>
        <w:jc w:val="both"/>
        <w:rPr>
          <w:rFonts w:ascii="仿宋_GB2312" w:hAnsi="等线" w:eastAsia="仿宋_GB2312" w:cs="Arial"/>
          <w:color w:val="666666"/>
          <w:kern w:val="0"/>
          <w:sz w:val="32"/>
          <w:szCs w:val="32"/>
        </w:rPr>
      </w:pP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</w:rPr>
        <w:t>3、若持有权利仓的投资者没有行权意愿，以及持有义务仓的投资者没有交割意愿，请在</w:t>
      </w: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  <w:lang w:val="en-US" w:eastAsia="zh-CN"/>
        </w:rPr>
        <w:t>27</w:t>
      </w: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</w:rPr>
        <w:t>日收市前及时平仓了结所持有的</w:t>
      </w: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  <w:lang w:val="en-US" w:eastAsia="zh-CN"/>
        </w:rPr>
        <w:t>5月</w:t>
      </w: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</w:rPr>
        <w:t>到期的股票期权合约头寸，避免不必要的损失。</w:t>
      </w:r>
    </w:p>
    <w:p w14:paraId="6850B5DE">
      <w:pPr>
        <w:widowControl/>
        <w:shd w:val="clear" w:color="auto" w:fill="FFFFFF"/>
        <w:jc w:val="both"/>
        <w:rPr>
          <w:rFonts w:ascii="仿宋_GB2312" w:hAnsi="等线" w:eastAsia="仿宋_GB2312" w:cs="Arial"/>
          <w:color w:val="666666"/>
          <w:kern w:val="0"/>
          <w:sz w:val="32"/>
          <w:szCs w:val="32"/>
        </w:rPr>
      </w:pPr>
      <w:r>
        <w:rPr>
          <w:rFonts w:hint="eastAsia" w:ascii="仿宋_GB2312" w:hAnsi="等线" w:eastAsia="仿宋_GB2312" w:cs="Arial"/>
          <w:color w:val="666666"/>
          <w:kern w:val="0"/>
          <w:sz w:val="32"/>
          <w:szCs w:val="32"/>
        </w:rPr>
        <w:t> </w:t>
      </w:r>
    </w:p>
    <w:p w14:paraId="0C1535EA">
      <w:pPr>
        <w:widowControl/>
        <w:shd w:val="clear" w:color="auto" w:fill="FFFFFF"/>
        <w:jc w:val="both"/>
        <w:rPr>
          <w:rFonts w:ascii="仿宋_GB2312" w:hAnsi="等线" w:eastAsia="仿宋_GB2312" w:cs="Arial"/>
          <w:color w:val="666666"/>
          <w:kern w:val="0"/>
          <w:sz w:val="32"/>
          <w:szCs w:val="32"/>
        </w:rPr>
      </w:pPr>
    </w:p>
    <w:p w14:paraId="0ABC891A">
      <w:pPr>
        <w:widowControl/>
        <w:shd w:val="clear" w:color="auto" w:fill="FFFFFF"/>
        <w:jc w:val="right"/>
        <w:rPr>
          <w:rFonts w:ascii="仿宋_GB2312" w:hAnsi="等线" w:eastAsia="仿宋_GB2312" w:cs="Arial"/>
          <w:color w:val="666666"/>
          <w:kern w:val="0"/>
          <w:sz w:val="32"/>
          <w:szCs w:val="32"/>
        </w:rPr>
      </w:pPr>
      <w:r>
        <w:rPr>
          <w:rFonts w:hint="eastAsia" w:ascii="仿宋_GB2312" w:hAnsi="等线" w:eastAsia="仿宋_GB2312" w:cs="Arial"/>
          <w:color w:val="666666"/>
          <w:kern w:val="0"/>
          <w:sz w:val="32"/>
          <w:szCs w:val="32"/>
        </w:rPr>
        <w:t> </w:t>
      </w:r>
    </w:p>
    <w:p w14:paraId="10A4F8D4">
      <w:pPr>
        <w:widowControl/>
        <w:shd w:val="clear" w:color="auto" w:fill="FFFFFF"/>
        <w:jc w:val="right"/>
        <w:rPr>
          <w:rFonts w:ascii="仿宋_GB2312" w:hAnsi="等线" w:eastAsia="仿宋_GB2312" w:cs="Arial"/>
          <w:color w:val="666666"/>
          <w:kern w:val="0"/>
          <w:sz w:val="32"/>
          <w:szCs w:val="32"/>
        </w:rPr>
      </w:pP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</w:rPr>
        <w:t>平安证券股份有限公司</w:t>
      </w:r>
    </w:p>
    <w:p w14:paraId="6D6C54EF">
      <w:pPr>
        <w:widowControl/>
        <w:shd w:val="clear" w:color="auto" w:fill="FFFFFF"/>
        <w:spacing w:after="240"/>
        <w:jc w:val="right"/>
        <w:rPr>
          <w:rFonts w:ascii="仿宋_GB2312" w:hAnsi="等线" w:eastAsia="仿宋_GB2312" w:cs="Arial"/>
          <w:color w:val="666666"/>
          <w:kern w:val="0"/>
          <w:sz w:val="32"/>
          <w:szCs w:val="32"/>
        </w:rPr>
      </w:pPr>
      <w:bookmarkStart w:id="1" w:name="_GoBack"/>
      <w:bookmarkEnd w:id="1"/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</w:rPr>
        <w:t>日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898"/>
    <w:rsid w:val="00003C09"/>
    <w:rsid w:val="00053D29"/>
    <w:rsid w:val="000D71B5"/>
    <w:rsid w:val="000F10E1"/>
    <w:rsid w:val="000F1F49"/>
    <w:rsid w:val="000F61A7"/>
    <w:rsid w:val="00100D77"/>
    <w:rsid w:val="001C2EAD"/>
    <w:rsid w:val="001E32C5"/>
    <w:rsid w:val="00200A93"/>
    <w:rsid w:val="002119B5"/>
    <w:rsid w:val="0023450A"/>
    <w:rsid w:val="002825DF"/>
    <w:rsid w:val="0029432C"/>
    <w:rsid w:val="002F5D01"/>
    <w:rsid w:val="00301AB6"/>
    <w:rsid w:val="00325587"/>
    <w:rsid w:val="003448EA"/>
    <w:rsid w:val="00352AEC"/>
    <w:rsid w:val="0037076A"/>
    <w:rsid w:val="00381367"/>
    <w:rsid w:val="003A37D7"/>
    <w:rsid w:val="003C0867"/>
    <w:rsid w:val="0040744A"/>
    <w:rsid w:val="00412C57"/>
    <w:rsid w:val="0044342F"/>
    <w:rsid w:val="00461A56"/>
    <w:rsid w:val="00485F53"/>
    <w:rsid w:val="004F68FB"/>
    <w:rsid w:val="00513617"/>
    <w:rsid w:val="00522900"/>
    <w:rsid w:val="00565FFA"/>
    <w:rsid w:val="005D1798"/>
    <w:rsid w:val="005E7898"/>
    <w:rsid w:val="005F38FA"/>
    <w:rsid w:val="00612B5C"/>
    <w:rsid w:val="00651464"/>
    <w:rsid w:val="00654BBA"/>
    <w:rsid w:val="0066039C"/>
    <w:rsid w:val="00691B70"/>
    <w:rsid w:val="006A35FC"/>
    <w:rsid w:val="006D1518"/>
    <w:rsid w:val="006D259E"/>
    <w:rsid w:val="0073022A"/>
    <w:rsid w:val="00755169"/>
    <w:rsid w:val="007A7EEE"/>
    <w:rsid w:val="007B7934"/>
    <w:rsid w:val="007C4DFF"/>
    <w:rsid w:val="007F2BED"/>
    <w:rsid w:val="008578A3"/>
    <w:rsid w:val="00870B9B"/>
    <w:rsid w:val="00874DEC"/>
    <w:rsid w:val="008D33A8"/>
    <w:rsid w:val="00900CF1"/>
    <w:rsid w:val="00987A5E"/>
    <w:rsid w:val="009F2239"/>
    <w:rsid w:val="00A86389"/>
    <w:rsid w:val="00A92BA3"/>
    <w:rsid w:val="00AA2AE3"/>
    <w:rsid w:val="00B03AEA"/>
    <w:rsid w:val="00BA7BD5"/>
    <w:rsid w:val="00BA7D0F"/>
    <w:rsid w:val="00C1526A"/>
    <w:rsid w:val="00CD1182"/>
    <w:rsid w:val="00CE168D"/>
    <w:rsid w:val="00D0289A"/>
    <w:rsid w:val="00D12F60"/>
    <w:rsid w:val="00D32576"/>
    <w:rsid w:val="00D3339A"/>
    <w:rsid w:val="00DA4366"/>
    <w:rsid w:val="00DB4124"/>
    <w:rsid w:val="00DF0717"/>
    <w:rsid w:val="00E00326"/>
    <w:rsid w:val="00E06658"/>
    <w:rsid w:val="00E22987"/>
    <w:rsid w:val="00E316BD"/>
    <w:rsid w:val="00E40E22"/>
    <w:rsid w:val="00E565C0"/>
    <w:rsid w:val="00F55BBF"/>
    <w:rsid w:val="00F6083C"/>
    <w:rsid w:val="00F86EBA"/>
    <w:rsid w:val="00F96D85"/>
    <w:rsid w:val="00F97AA6"/>
    <w:rsid w:val="00FC0B95"/>
    <w:rsid w:val="00FF07FB"/>
    <w:rsid w:val="00FF5892"/>
    <w:rsid w:val="04784E1A"/>
    <w:rsid w:val="0E856E3D"/>
    <w:rsid w:val="11FB4A1B"/>
    <w:rsid w:val="17E81161"/>
    <w:rsid w:val="19E66AB0"/>
    <w:rsid w:val="21FB26AF"/>
    <w:rsid w:val="2BC4292E"/>
    <w:rsid w:val="2DD835D2"/>
    <w:rsid w:val="345B1591"/>
    <w:rsid w:val="35DB4CBA"/>
    <w:rsid w:val="364860CD"/>
    <w:rsid w:val="384B0318"/>
    <w:rsid w:val="3AFE2043"/>
    <w:rsid w:val="471010FD"/>
    <w:rsid w:val="4BA62285"/>
    <w:rsid w:val="4EE92A95"/>
    <w:rsid w:val="4F190F33"/>
    <w:rsid w:val="50A14E42"/>
    <w:rsid w:val="54015004"/>
    <w:rsid w:val="637C6F00"/>
    <w:rsid w:val="64EE3016"/>
    <w:rsid w:val="6A4454E8"/>
    <w:rsid w:val="6D3C6118"/>
    <w:rsid w:val="74136ACD"/>
    <w:rsid w:val="76584D30"/>
    <w:rsid w:val="779F0FD3"/>
    <w:rsid w:val="77B1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"/>
    <w:pPr>
      <w:widowControl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2 字符"/>
    <w:basedOn w:val="6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0">
    <w:name w:val="wbzf"/>
    <w:basedOn w:val="6"/>
    <w:qFormat/>
    <w:uiPriority w:val="0"/>
  </w:style>
  <w:style w:type="character" w:customStyle="1" w:styleId="11">
    <w:name w:val="c992"/>
    <w:basedOn w:val="6"/>
    <w:qFormat/>
    <w:uiPriority w:val="0"/>
    <w:rPr>
      <w:color w:val="999999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PAIG</Company>
  <Pages>2</Pages>
  <Words>76</Words>
  <Characters>438</Characters>
  <Lines>3</Lines>
  <Paragraphs>1</Paragraphs>
  <TotalTime>114</TotalTime>
  <ScaleCrop>false</ScaleCrop>
  <LinksUpToDate>false</LinksUpToDate>
  <CharactersWithSpaces>513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2019-11-19T07:24:00Z</dcterms:created>
  <dc:creator>Windows 用户</dc:creator>
  <cp:lastModifiedBy>LAIMIN057</cp:lastModifiedBy>
  <dcterms:modified xsi:type="dcterms:W3CDTF">2026-05-20T00:44:47Z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2295E82DB3AB41A1B2DE989CF023C2F8</vt:lpwstr>
  </property>
</Properties>
</file>