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ind w:firstLine="641"/>
        <w:jc w:val="center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Calibri"/>
          <w:b/>
          <w:bCs/>
          <w:color w:val="FF0000"/>
          <w:kern w:val="0"/>
          <w:sz w:val="32"/>
          <w:szCs w:val="32"/>
        </w:rPr>
        <w:t>平安证券融资融券业务</w:t>
      </w:r>
      <w:r>
        <w:rPr>
          <w:rFonts w:hint="eastAsia" w:ascii="等线" w:hAnsi="等线" w:eastAsia="等线" w:cs="Calibri"/>
          <w:color w:val="000000"/>
          <w:kern w:val="0"/>
          <w:szCs w:val="21"/>
        </w:rPr>
        <w:t> </w:t>
      </w:r>
      <w:r>
        <w:rPr>
          <w:rFonts w:ascii="Calibri" w:hAnsi="Calibri" w:eastAsia="宋体" w:cs="Calibri"/>
          <w:color w:val="000000"/>
          <w:kern w:val="0"/>
          <w:sz w:val="24"/>
          <w:szCs w:val="24"/>
        </w:rPr>
        <w:t> </w:t>
      </w:r>
    </w:p>
    <w:p>
      <w:pPr>
        <w:widowControl/>
        <w:spacing w:line="394" w:lineRule="atLeast"/>
        <w:ind w:firstLine="643"/>
        <w:jc w:val="center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b/>
          <w:bCs/>
          <w:color w:val="FF0000"/>
          <w:kern w:val="0"/>
          <w:sz w:val="32"/>
          <w:szCs w:val="32"/>
        </w:rPr>
        <w:t>国华网安（000004）等证券临时调整公告</w:t>
      </w:r>
      <w:r>
        <w:rPr>
          <w:rFonts w:hint="eastAsia" w:ascii="等线" w:hAnsi="等线" w:eastAsia="等线" w:cs="Calibri"/>
          <w:color w:val="000000"/>
          <w:kern w:val="0"/>
          <w:szCs w:val="21"/>
        </w:rPr>
        <w:t> </w:t>
      </w:r>
      <w:r>
        <w:rPr>
          <w:rFonts w:ascii="Calibri" w:hAnsi="Calibri" w:eastAsia="宋体" w:cs="Calibri"/>
          <w:color w:val="000000"/>
          <w:kern w:val="0"/>
          <w:sz w:val="24"/>
          <w:szCs w:val="24"/>
        </w:rPr>
        <w:t> </w:t>
      </w:r>
    </w:p>
    <w:p>
      <w:pPr>
        <w:widowControl/>
        <w:spacing w:line="394" w:lineRule="atLeast"/>
        <w:ind w:firstLine="480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根据我公司制度规定，即日起对以下证券进行临时调整，具体调整明细如下：  </w:t>
      </w:r>
      <w:r>
        <w:rPr>
          <w:rFonts w:hint="eastAsia" w:ascii="等线" w:hAnsi="等线" w:eastAsia="等线" w:cs="Calibri"/>
          <w:color w:val="000000"/>
          <w:kern w:val="0"/>
          <w:szCs w:val="21"/>
        </w:rPr>
        <w:t> </w:t>
      </w:r>
      <w:r>
        <w:rPr>
          <w:rFonts w:ascii="Calibri" w:hAnsi="Calibri" w:eastAsia="宋体" w:cs="Calibri"/>
          <w:color w:val="000000"/>
          <w:kern w:val="0"/>
          <w:sz w:val="24"/>
          <w:szCs w:val="24"/>
        </w:rPr>
        <w:t> </w:t>
      </w:r>
      <w:r>
        <w:rPr>
          <w:rFonts w:hint="eastAsia" w:ascii="等线" w:hAnsi="等线" w:eastAsia="等线" w:cs="Calibri"/>
          <w:color w:val="000000"/>
          <w:kern w:val="0"/>
          <w:szCs w:val="21"/>
        </w:rPr>
        <w:t> </w:t>
      </w:r>
      <w:r>
        <w:rPr>
          <w:rFonts w:ascii="Calibri" w:hAnsi="Calibri" w:eastAsia="宋体" w:cs="Calibri"/>
          <w:color w:val="000000"/>
          <w:kern w:val="0"/>
          <w:sz w:val="24"/>
          <w:szCs w:val="24"/>
        </w:rPr>
        <w:t> </w:t>
      </w:r>
    </w:p>
    <w:tbl>
      <w:tblPr>
        <w:tblStyle w:val="3"/>
        <w:tblW w:w="586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26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证券代码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证券简称</w:t>
            </w:r>
          </w:p>
        </w:tc>
        <w:tc>
          <w:tcPr>
            <w:tcW w:w="2626" w:type="dxa"/>
            <w:tcBorders>
              <w:top w:val="single" w:color="000000" w:sz="12" w:space="0"/>
              <w:left w:val="dotted" w:color="AAAAAA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调整设置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000004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国华网安</w:t>
            </w:r>
          </w:p>
        </w:tc>
        <w:tc>
          <w:tcPr>
            <w:tcW w:w="2626" w:type="dxa"/>
            <w:tcBorders>
              <w:top w:val="dotted" w:color="AAAAAA" w:sz="4" w:space="0"/>
              <w:left w:val="dotted" w:color="AAAAAA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调出担保券范围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000040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东旭蓝天</w:t>
            </w:r>
          </w:p>
        </w:tc>
        <w:tc>
          <w:tcPr>
            <w:tcW w:w="2626" w:type="dxa"/>
            <w:tcBorders>
              <w:top w:val="dotted" w:color="AAAAAA" w:sz="4" w:space="0"/>
              <w:left w:val="dotted" w:color="AAAAAA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调出担保券范围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000413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东旭光电</w:t>
            </w:r>
          </w:p>
        </w:tc>
        <w:tc>
          <w:tcPr>
            <w:tcW w:w="2626" w:type="dxa"/>
            <w:tcBorders>
              <w:top w:val="dotted" w:color="AAAAAA" w:sz="4" w:space="0"/>
              <w:left w:val="dotted" w:color="AAAAAA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调出担保券范围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300391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长药控股</w:t>
            </w:r>
          </w:p>
        </w:tc>
        <w:tc>
          <w:tcPr>
            <w:tcW w:w="2626" w:type="dxa"/>
            <w:tcBorders>
              <w:top w:val="dotted" w:color="AAAAAA" w:sz="4" w:space="0"/>
              <w:left w:val="dotted" w:color="AAAAAA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调出担保券范围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300630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普利制药</w:t>
            </w:r>
          </w:p>
        </w:tc>
        <w:tc>
          <w:tcPr>
            <w:tcW w:w="2626" w:type="dxa"/>
            <w:tcBorders>
              <w:top w:val="dotted" w:color="AAAAAA" w:sz="4" w:space="0"/>
              <w:left w:val="dotted" w:color="AAAAAA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调出标的与担保券范围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123099</w:t>
            </w:r>
          </w:p>
        </w:tc>
        <w:tc>
          <w:tcPr>
            <w:tcW w:w="1080" w:type="dxa"/>
            <w:tcBorders>
              <w:top w:val="dotted" w:color="AAAAAA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普利转债</w:t>
            </w:r>
          </w:p>
        </w:tc>
        <w:tc>
          <w:tcPr>
            <w:tcW w:w="2626" w:type="dxa"/>
            <w:tcBorders>
              <w:top w:val="dotted" w:color="AAAAAA" w:sz="4" w:space="0"/>
              <w:left w:val="dotted" w:color="AAAAAA" w:sz="4" w:space="0"/>
              <w:bottom w:val="single" w:color="000000" w:sz="12" w:space="0"/>
              <w:right w:val="single" w:color="000000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调出担保券范围</w:t>
            </w:r>
          </w:p>
        </w:tc>
      </w:tr>
    </w:tbl>
    <w:p>
      <w:pPr>
        <w:widowControl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</w:p>
    <w:p>
      <w:pPr>
        <w:widowControl/>
        <w:spacing w:line="394" w:lineRule="atLeast"/>
        <w:ind w:firstLine="480"/>
        <w:rPr>
          <w:rFonts w:hint="eastAsia"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特此公告。</w:t>
      </w:r>
      <w:r>
        <w:rPr>
          <w:rFonts w:hint="eastAsia" w:ascii="等线" w:hAnsi="等线" w:eastAsia="等线" w:cs="Calibri"/>
          <w:color w:val="000000"/>
          <w:kern w:val="0"/>
          <w:szCs w:val="21"/>
        </w:rPr>
        <w:t> </w:t>
      </w:r>
      <w:r>
        <w:rPr>
          <w:rFonts w:ascii="Calibri" w:hAnsi="Calibri" w:eastAsia="宋体" w:cs="Calibri"/>
          <w:color w:val="000000"/>
          <w:kern w:val="0"/>
          <w:sz w:val="24"/>
          <w:szCs w:val="24"/>
        </w:rPr>
        <w:t> </w:t>
      </w:r>
    </w:p>
    <w:p>
      <w:pPr>
        <w:widowControl/>
        <w:spacing w:line="312" w:lineRule="atLeast"/>
        <w:jc w:val="center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1F497D"/>
          <w:kern w:val="0"/>
          <w:szCs w:val="21"/>
        </w:rPr>
        <w:t> </w:t>
      </w:r>
      <w:r>
        <w:rPr>
          <w:rFonts w:hint="eastAsia" w:ascii="等线" w:hAnsi="等线" w:eastAsia="等线" w:cs="Calibri"/>
          <w:color w:val="000000"/>
          <w:kern w:val="0"/>
          <w:szCs w:val="21"/>
        </w:rPr>
        <w:t> </w:t>
      </w:r>
      <w:r>
        <w:rPr>
          <w:rFonts w:ascii="Calibri" w:hAnsi="Calibri" w:eastAsia="宋体" w:cs="Calibri"/>
          <w:color w:val="000000"/>
          <w:kern w:val="0"/>
          <w:sz w:val="24"/>
          <w:szCs w:val="24"/>
        </w:rPr>
        <w:t> </w:t>
      </w:r>
    </w:p>
    <w:p>
      <w:pPr>
        <w:widowControl/>
        <w:spacing w:line="312" w:lineRule="atLeas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1F497D"/>
          <w:kern w:val="0"/>
          <w:szCs w:val="21"/>
        </w:rPr>
        <w:t> </w:t>
      </w:r>
      <w:r>
        <w:rPr>
          <w:rFonts w:hint="eastAsia" w:ascii="等线" w:hAnsi="等线" w:eastAsia="等线" w:cs="Calibri"/>
          <w:color w:val="000000"/>
          <w:kern w:val="0"/>
          <w:szCs w:val="21"/>
        </w:rPr>
        <w:t> </w:t>
      </w:r>
      <w:r>
        <w:rPr>
          <w:rFonts w:ascii="Calibri" w:hAnsi="Calibri" w:eastAsia="宋体" w:cs="Calibri"/>
          <w:color w:val="000000"/>
          <w:kern w:val="0"/>
          <w:sz w:val="24"/>
          <w:szCs w:val="24"/>
        </w:rPr>
        <w:t> </w:t>
      </w:r>
    </w:p>
    <w:p>
      <w:pPr>
        <w:widowControl/>
        <w:spacing w:line="312" w:lineRule="atLeast"/>
        <w:jc w:val="righ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平安证券股份有限公司</w:t>
      </w:r>
      <w:r>
        <w:rPr>
          <w:rFonts w:hint="eastAsia" w:ascii="等线" w:hAnsi="等线" w:eastAsia="等线" w:cs="Calibri"/>
          <w:color w:val="000000"/>
          <w:kern w:val="0"/>
          <w:szCs w:val="21"/>
        </w:rPr>
        <w:t> </w:t>
      </w:r>
      <w:r>
        <w:rPr>
          <w:rFonts w:ascii="Calibri" w:hAnsi="Calibri" w:eastAsia="宋体" w:cs="Calibri"/>
          <w:color w:val="000000"/>
          <w:kern w:val="0"/>
          <w:sz w:val="24"/>
          <w:szCs w:val="24"/>
        </w:rPr>
        <w:t> </w:t>
      </w:r>
    </w:p>
    <w:p>
      <w:pPr>
        <w:widowControl/>
        <w:spacing w:line="312" w:lineRule="atLeast"/>
        <w:jc w:val="right"/>
        <w:rPr>
          <w:rFonts w:ascii="Calibri" w:hAnsi="Calibri" w:eastAsia="宋体" w:cs="Calibri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Calibri"/>
          <w:color w:val="000000"/>
          <w:kern w:val="0"/>
          <w:szCs w:val="21"/>
        </w:rPr>
        <w:t>2024年05月06日</w:t>
      </w:r>
      <w:r>
        <w:rPr>
          <w:rFonts w:ascii="Calibri" w:hAnsi="Calibri" w:eastAsia="宋体" w:cs="Calibri"/>
          <w:color w:val="000000"/>
          <w:kern w:val="0"/>
          <w:sz w:val="24"/>
          <w:szCs w:val="24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4A"/>
    <w:rsid w:val="00292CF6"/>
    <w:rsid w:val="00513C4A"/>
    <w:rsid w:val="017B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10"/>
    <w:basedOn w:val="4"/>
    <w:uiPriority w:val="0"/>
  </w:style>
  <w:style w:type="paragraph" w:customStyle="1" w:styleId="6">
    <w:name w:val="p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PAIG</Company>
  <Pages>1</Pages>
  <Words>42</Words>
  <Characters>240</Characters>
  <Lines>2</Lines>
  <Paragraphs>1</Paragraphs>
  <TotalTime>1</TotalTime>
  <ScaleCrop>false</ScaleCrop>
  <LinksUpToDate>false</LinksUpToDate>
  <CharactersWithSpaces>281</CharactersWithSpaces>
  <Application>WPS Office_11.8.2.12252_F1E327BC-269C-435d-A152-05C5408002CA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2024-05-06T01:20:00Z</dcterms:created>
  <dc:creator>Windows 用户</dc:creator>
  <cp:lastModifiedBy>liusilan574</cp:lastModifiedBy>
  <dcterms:modified xsi:type="dcterms:W3CDTF">2024-05-06T01:58:42Z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2052-11.8.2.12252</vt:lpwstr>
  </property>
  <property fmtid="{D5CDD505-2E9C-101B-9397-08002B2CF9AE}" pid="3" name="ICV">
    <vt:lpwstr>F7266DAAC7524CAA8DF3CCB14064CAF5</vt:lpwstr>
  </property>
</Properties>
</file>